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FORMULACIÓN CREATIVA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CP-02-2022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dxa"/>
        <w:tblLayout w:type="fixed"/>
        <w:tblLook w:val="0400"/>
      </w:tblPr>
      <w:tblGrid>
        <w:gridCol w:w="4530"/>
        <w:gridCol w:w="4500"/>
        <w:tblGridChange w:id="0">
          <w:tblGrid>
            <w:gridCol w:w="4530"/>
            <w:gridCol w:w="4500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TÍTULO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GÉNERO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AUDIENCIA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DE CAPÍTULOS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TEMPORADA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DURACIÓN PROMEDIO POR 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FECHA DE FINALIZACIÓN PROYECTADA EN EL CRONOGRAMA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PRESUPUESTO TOTAL PROYECTADO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1. IDEA CENTRAL 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STORYLINE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400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 una oración que define con claridad y delimita la idea central del proyecto, sintetiza la fuerza temática y narrativa del mismo. Suele responder a las preguntas ¿quién?, ¿qué?, ¿cómo?, ¿dónde? y ¿por qué?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2. SINOPSIS DEL PROYECTO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2.400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Desarrolla a manera de breve relato en tercera persona, el alcance temático, el potencial narrativo y dramático que tiene la idea central. Permite entrever el orden estructural del proyecto y puntualiza sus componentes narrativos, personajes, situaciones, tono y otros elementos elegidos para comunicar la idea central.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3. ESTRUCTURA NARRATIVA TIPO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3.500 caracteres; puede usarse una tabla resumen donde explique cada bloque y duración aproximada)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Expone cómo se ordenan los contenidos a lo largo del relato. Puntualiza cómo se divide la historia, ya sea en actos dramáticos, bloques temáticos, segmentos o secciones. Organiza elementos como el detonante, hipótesis, la pregunta central que orienta el desarrollo del programa, el gancho, la introducción, el nudo, el desarrollo y el desenlace para el capítulo tipo de una serie o unitario.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4. ENFOQUE Y PUNTO DE VISTA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 desde qué punto de vista se cuenta la historia del proyecto; identifica y desarrolla claramente cuáles son las distintas perspectivas desde las cuales se abordará el tema central.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5. TRATAMIENTO DE PERSONAJES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500 caracteres por personaje)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Permite entender el rol de los personajes dentro de la temática elegida y la forma como se representan las distintas formas de ser, atendiendo a la inclusión y la diversidad ciudadana.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Este apartado se debe desarrollar para los mismos 5 capítulos de los que se desarrollen las 5 sinopsis solicitadas en el numeral 8.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 INVESTIGACIÓN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Marco general de la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los antecedentes, delimita los conceptos y las categorías o ejes conceptuales desde los cuales se abordan los temas y contenidos en función del proyecto –no se trata de consignar informaciones, sino explicar en qué concepto se sustentan.</w:t>
      </w:r>
    </w:p>
    <w:p w:rsidR="00000000" w:rsidDel="00000000" w:rsidP="00000000" w:rsidRDefault="00000000" w:rsidRPr="00000000" w14:paraId="0000002C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6.2 Metodología y 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Explica la forma en que se llevará a cabo la consecución, procesamiento y utilización de la información en el proyecto audiovisual. Debe exponer además las fuentes utilizadas en la etapa de formulación y ejecución del proyecto.</w:t>
      </w:r>
    </w:p>
    <w:p w:rsidR="00000000" w:rsidDel="00000000" w:rsidP="00000000" w:rsidRDefault="00000000" w:rsidRPr="00000000" w14:paraId="0000002F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6.3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Cubrimiento temático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 y explica brevemente los temas y subtemas seleccionados para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cinco (5) capítulos de la serie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Diligencie solo una fila para el caso de unitarios.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96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1590"/>
        <w:gridCol w:w="1230"/>
        <w:gridCol w:w="1485"/>
        <w:gridCol w:w="2895"/>
        <w:gridCol w:w="1650"/>
        <w:tblGridChange w:id="0">
          <w:tblGrid>
            <w:gridCol w:w="435"/>
            <w:gridCol w:w="1590"/>
            <w:gridCol w:w="1230"/>
            <w:gridCol w:w="1485"/>
            <w:gridCol w:w="289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Nombre del capítulo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Tema central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Subtemas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Enfoque específico (del capítulo)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Personajes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6.4 Cubrimiento geográfico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Enuncia, describe y justifica los lugares específicos en donde se realizarán las grabaciones del proyecto o en los que se desarrolla la historia.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 TRATAMIENTO AUDIOVISUAL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7.1 Género y formato</w:t>
      </w:r>
    </w:p>
    <w:p w:rsidR="00000000" w:rsidDel="00000000" w:rsidP="00000000" w:rsidRDefault="00000000" w:rsidRPr="00000000" w14:paraId="0000005D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y justifica la elección del estilo narrativo y audiovisual del proyecto. Para guiar este diligenciamiento, se proponen las siguientes pautas:</w:t>
      </w:r>
    </w:p>
    <w:p w:rsidR="00000000" w:rsidDel="00000000" w:rsidP="00000000" w:rsidRDefault="00000000" w:rsidRPr="00000000" w14:paraId="0000005E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Género: Informativo, no ficción, ficción, entretenimiento –entre otros-.</w:t>
      </w:r>
    </w:p>
    <w:p w:rsidR="00000000" w:rsidDel="00000000" w:rsidP="00000000" w:rsidRDefault="00000000" w:rsidRPr="00000000" w14:paraId="0000005F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Formato: Documental, musical, concurso,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reality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talk show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magazín,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docu-reality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falso documental, dramatizado, animación,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live action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–entre otros–.</w:t>
      </w:r>
    </w:p>
    <w:p w:rsidR="00000000" w:rsidDel="00000000" w:rsidP="00000000" w:rsidRDefault="00000000" w:rsidRPr="00000000" w14:paraId="00000060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7.2 Recursos audiovisuales</w:t>
      </w:r>
    </w:p>
    <w:p w:rsidR="00000000" w:rsidDel="00000000" w:rsidP="00000000" w:rsidRDefault="00000000" w:rsidRPr="00000000" w14:paraId="00000062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el diseño visual y sonoro del proyecto. Describe de manera clara y precisa la propuesta del director y como se articula con las propuestas fotográfica, de diseño sonoro, de montaje, así como los elementos que las conforman. Se debe privilegiar el concepto estético -los recursos expresivos del proyecto- sobre los aspectos técnicos particulares.</w:t>
      </w:r>
    </w:p>
    <w:p w:rsidR="00000000" w:rsidDel="00000000" w:rsidP="00000000" w:rsidRDefault="00000000" w:rsidRPr="00000000" w14:paraId="00000063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7.3 Libro de arte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666666"/>
          <w:sz w:val="20"/>
          <w:szCs w:val="20"/>
          <w:rtl w:val="0"/>
        </w:rPr>
        <w:t xml:space="preserve">(para proyectos de ficción y animación)</w:t>
      </w:r>
    </w:p>
    <w:p w:rsidR="00000000" w:rsidDel="00000000" w:rsidP="00000000" w:rsidRDefault="00000000" w:rsidRPr="00000000" w14:paraId="00000065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mediante artes conceptuales o fotografías la propuesta de arte, dependiendo del tipo de proyecto puede incluir diseño de personajes, escenarios, guion de color, ambientación, utilería y vestuario.</w:t>
      </w:r>
    </w:p>
    <w:p w:rsidR="00000000" w:rsidDel="00000000" w:rsidP="00000000" w:rsidRDefault="00000000" w:rsidRPr="00000000" w14:paraId="00000066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7.4 Propuesta de Casting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proyectos de ficción, liveaction o aquellos que incluyan actores,  presentador/es, personaje ancla o similares).</w:t>
      </w:r>
    </w:p>
    <w:p w:rsidR="00000000" w:rsidDel="00000000" w:rsidP="00000000" w:rsidRDefault="00000000" w:rsidRPr="00000000" w14:paraId="00000068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la propuesta de actores/talentos que conformarán el elenco principal del proyecto. Debe incluir fotografía y perfil o trayectoria de los actores/talentos propuestos.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8. SINOPSIS DE CAPÍTULOS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500 caracteres por capítulo)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aplica para unitarios.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Breve reseña de los contenidos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cinco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(5)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capítulos de la serie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(los mismos que se incluyan en el numeral 6.3 Cubrimiento temático). Enuncia los temas seleccionados, los protagonistas, el alcance geográfico y, si es del caso, tratamientos audiovisuales particulares.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9. PROPUESTA MULTIPLATAFORMA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(máximo 3.000 caracteres)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aplica para todos los procesos.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de manera concreta los contenidos y plataformas que expandirán la experiencia del usuario alrededor del proyecto, no solo a nivel promocional sino buscando generar conversación y participación. Explica estratégicamente la forma como circularán los contenidos de acuerdo con el tipo de usuario y plataforma y alcance, teniendo en cuenta características de interacción y usabilidad. 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-9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920"/>
        <w:gridCol w:w="1515"/>
        <w:gridCol w:w="2415"/>
        <w:gridCol w:w="1530"/>
        <w:gridCol w:w="1515"/>
        <w:tblGridChange w:id="0">
          <w:tblGrid>
            <w:gridCol w:w="495"/>
            <w:gridCol w:w="1920"/>
            <w:gridCol w:w="1515"/>
            <w:gridCol w:w="2415"/>
            <w:gridCol w:w="153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la pieza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Descripción del contenido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Red(es) de circulación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Interacción con los usuarios (si aplica)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debe tener en cuenta que los contenidos puedan existir en la web de Capital sistema de comunicación pública (</w:t>
      </w:r>
      <w:hyperlink r:id="rId7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www.conexioncapital.co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y/o en sus diferentes redes sociales: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8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www.facebook.com/CanalCapitalOficial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9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www.instagram.com/canalcapital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https://twitter.com/canalcapital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11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www.youtube.com/user/CanalCapitalBogota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propuesta debe incluir como mínimo los contenidos multiplataforma solicitados en la presente convocatoria, invitación a cotizar u otro proceso (si aplica).  Se pueden proponer contenidos adicionales siempre y cuando estén contemplados en el diseño de producción.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B7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F7B59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F7B59"/>
  </w:style>
  <w:style w:type="paragraph" w:styleId="Piedepgina">
    <w:name w:val="footer"/>
    <w:basedOn w:val="Normal"/>
    <w:link w:val="PiedepginaCar"/>
    <w:uiPriority w:val="99"/>
    <w:unhideWhenUsed w:val="1"/>
    <w:rsid w:val="009F7B59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F7B5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youtube.com/user/CanalCapitalBogota" TargetMode="External"/><Relationship Id="rId10" Type="http://schemas.openxmlformats.org/officeDocument/2006/relationships/hyperlink" Target="https://twitter.com/canalcapita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stagram.com/canalcapita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nexioncapital.co" TargetMode="External"/><Relationship Id="rId8" Type="http://schemas.openxmlformats.org/officeDocument/2006/relationships/hyperlink" Target="https://www.facebook.com/CanalCapitalOfici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KYN54Ldcq7unitpbsW5aED1CA==">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2020-07-23T14:03:00Z</dcterms:created>
</cp:coreProperties>
</file>